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CF" w:rsidRPr="00B60154" w:rsidRDefault="00FE3CCF" w:rsidP="00FE3CCF">
      <w:pPr>
        <w:pStyle w:val="Pa3"/>
        <w:spacing w:before="560" w:after="221"/>
        <w:rPr>
          <w:color w:val="000000"/>
          <w:sz w:val="36"/>
          <w:szCs w:val="40"/>
        </w:rPr>
      </w:pPr>
      <w:r w:rsidRPr="00B60154">
        <w:rPr>
          <w:b/>
          <w:bCs/>
          <w:color w:val="000000"/>
          <w:sz w:val="36"/>
          <w:szCs w:val="40"/>
        </w:rPr>
        <w:t xml:space="preserve">Unterstützung für Studierende mit Legasthenie </w:t>
      </w:r>
    </w:p>
    <w:p w:rsidR="00FE3CCF" w:rsidRDefault="00FE3CCF" w:rsidP="00FE3CCF">
      <w:pPr>
        <w:pStyle w:val="Pa1"/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Studierende mit Legasthenie („Lese-Rechtschreibstörung“) haben Schwierigkeiten mit der Aufnahme und dem Verfassen von Texten. Diese „Lernstörung“, die als Behinde</w:t>
      </w:r>
      <w:r>
        <w:rPr>
          <w:color w:val="000000"/>
          <w:sz w:val="22"/>
          <w:szCs w:val="22"/>
        </w:rPr>
        <w:softHyphen/>
        <w:t>rung durch die WHO anerkannt ist, steht in keinem Zusammenhang mit den intellektu</w:t>
      </w:r>
      <w:r>
        <w:rPr>
          <w:color w:val="000000"/>
          <w:sz w:val="22"/>
          <w:szCs w:val="22"/>
        </w:rPr>
        <w:softHyphen/>
        <w:t xml:space="preserve">ellen Fähigkeiten. </w:t>
      </w:r>
      <w:r>
        <w:rPr>
          <w:color w:val="000000"/>
          <w:sz w:val="22"/>
          <w:szCs w:val="22"/>
        </w:rPr>
        <w:br/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b/>
          <w:bCs/>
          <w:sz w:val="22"/>
          <w:szCs w:val="22"/>
        </w:rPr>
        <w:t>Computer mit Sprachausgabe und automatischer Rechtschreibprüfung</w:t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sz w:val="22"/>
          <w:szCs w:val="22"/>
        </w:rPr>
        <w:t>Technische Hilfsmittel tragen wesentlich dazu bei, die Auswirkungen einer Legasthenie zu kompensieren. Dazu gehören besonders: Computer mit Sprachausgabe, Hörmedi</w:t>
      </w:r>
      <w:r>
        <w:rPr>
          <w:sz w:val="22"/>
          <w:szCs w:val="22"/>
        </w:rPr>
        <w:softHyphen/>
        <w:t>en, Schreibprogramme mit automatischer Rechtschreib- und Grammatikprüfung. Spe</w:t>
      </w:r>
      <w:r>
        <w:rPr>
          <w:sz w:val="22"/>
          <w:szCs w:val="22"/>
        </w:rPr>
        <w:softHyphen/>
        <w:t xml:space="preserve">zielle Software unterstützt das Erfassen des Textes und die Korrektur selbstverfasster Dokumente. </w:t>
      </w:r>
    </w:p>
    <w:p w:rsidR="00FE3CCF" w:rsidRDefault="00FE3CCF" w:rsidP="00FE3CCF">
      <w:pPr>
        <w:pStyle w:val="Pa0"/>
        <w:spacing w:before="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Aufgelesene Literatur – Mitschriften </w:t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sz w:val="22"/>
          <w:szCs w:val="22"/>
        </w:rPr>
        <w:t>Wie Studierende mit Sehbeeinträchtigungen sind Studierende mit Legasthenie ggf. auf umgesetzte Literatur angewiesen → Abschnitt „Unterstützung Studierender mit Sehbe</w:t>
      </w:r>
      <w:r>
        <w:rPr>
          <w:sz w:val="22"/>
          <w:szCs w:val="22"/>
        </w:rPr>
        <w:softHyphen/>
        <w:t>einträchtigungen“. Für Mitschriften in Vorlesungen und Seminaren kann die Unterstüt</w:t>
      </w:r>
      <w:r>
        <w:rPr>
          <w:sz w:val="22"/>
          <w:szCs w:val="22"/>
        </w:rPr>
        <w:softHyphen/>
        <w:t>zung durch Mitschreibkräfte von Vorteil sein. Alternativ kann darum gebeten werden, die Veranstaltung – ausschließlich zum eigenen Gebrauch – mitzuschneiden.</w:t>
      </w:r>
    </w:p>
    <w:p w:rsidR="00FE3CCF" w:rsidRDefault="00FE3CCF" w:rsidP="00FE3CCF">
      <w:pPr>
        <w:pStyle w:val="Pa0"/>
        <w:spacing w:before="160"/>
        <w:rPr>
          <w:sz w:val="22"/>
          <w:szCs w:val="22"/>
        </w:rPr>
      </w:pPr>
      <w:r>
        <w:rPr>
          <w:b/>
          <w:bCs/>
          <w:sz w:val="22"/>
          <w:szCs w:val="22"/>
        </w:rPr>
        <w:t>Finanzierung von individuellen Hilfsmitteln und Studienassistenzen</w:t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Die Finanzierung von studienbezogenen, individuell erforderlichen Hilfen kann unter bestimmten Voraussetzungen über die Eingliederungshilfe für behinderte Menschen (SGB XII) erfolgen. </w:t>
      </w:r>
    </w:p>
    <w:p w:rsidR="00FE3CCF" w:rsidRDefault="00FE3CCF" w:rsidP="00FE3CCF">
      <w:pPr>
        <w:pStyle w:val="Pa0"/>
        <w:spacing w:before="160"/>
        <w:rPr>
          <w:sz w:val="22"/>
          <w:szCs w:val="22"/>
        </w:rPr>
      </w:pPr>
      <w:r>
        <w:rPr>
          <w:b/>
          <w:bCs/>
          <w:sz w:val="22"/>
          <w:szCs w:val="22"/>
        </w:rPr>
        <w:t>Berücksichtigung beeinträchtigungsbedingter Belange in Lehrveranstaltungen und Prüfungssituationen</w:t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sz w:val="22"/>
          <w:szCs w:val="22"/>
        </w:rPr>
        <w:t>Neben technischen Hilfen und personellen Unterstützungen sind Studierende mit Legasthenie auf die Berücksichtigung ihrer Belange in Lehrsituationen und auf Nach</w:t>
      </w:r>
      <w:r>
        <w:rPr>
          <w:sz w:val="22"/>
          <w:szCs w:val="22"/>
        </w:rPr>
        <w:softHyphen/>
        <w:t>teilsausgleiche im Studium und bei Prüfungen angewiesen</w:t>
      </w:r>
      <w:bookmarkStart w:id="0" w:name="_GoBack"/>
      <w:bookmarkEnd w:id="0"/>
      <w:r>
        <w:rPr>
          <w:sz w:val="22"/>
          <w:szCs w:val="22"/>
        </w:rPr>
        <w:t>. Der Anspruch auf Nachteilsausgleiche ist mittlerweile auch in Deutschland durch Gerichte bestätigt worden.</w:t>
      </w:r>
    </w:p>
    <w:p w:rsidR="00FE3CCF" w:rsidRDefault="00FE3CCF" w:rsidP="00FE3CCF">
      <w:pPr>
        <w:pStyle w:val="Pa0"/>
        <w:spacing w:before="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Tabuthema Legasthenie </w:t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sz w:val="22"/>
          <w:szCs w:val="22"/>
        </w:rPr>
        <w:t>Zumeist möchten Studierende mit Legasthenie möglichst wenig auffallen. Für Lehren</w:t>
      </w:r>
      <w:r>
        <w:rPr>
          <w:sz w:val="22"/>
          <w:szCs w:val="22"/>
        </w:rPr>
        <w:softHyphen/>
        <w:t>de und Studierende ist das Thema immer noch ein Tabu. Die Studierenden fühlen sich nicht als „behindert“ und fürchten Benachteiligung durch ein „Outing“. Nachteilsaus</w:t>
      </w:r>
      <w:r>
        <w:rPr>
          <w:sz w:val="22"/>
          <w:szCs w:val="22"/>
        </w:rPr>
        <w:softHyphen/>
        <w:t>gleiche, Unterstützung durch Mitschreibassistenz und Berücksichtigung der Belange in Vorlesungen und Seminaren setzen allerdings voraus, dass sich die Studierenden – soweit nötig – zu ihrer Beeinträchtigung bekennen. In jedem Fall sollte man sich mit der oder dem Behindertenbeauftragten der Hochschule beraten und Kontakt zu ande</w:t>
      </w:r>
      <w:r>
        <w:rPr>
          <w:sz w:val="22"/>
          <w:szCs w:val="22"/>
        </w:rPr>
        <w:softHyphen/>
        <w:t>ren Studierenden mit Legasthenie aufbauen.</w:t>
      </w:r>
    </w:p>
    <w:p w:rsidR="00FE3CCF" w:rsidRDefault="00FE3CCF" w:rsidP="00FE3CCF">
      <w:pPr>
        <w:pStyle w:val="Pa1"/>
        <w:spacing w:after="100"/>
        <w:rPr>
          <w:sz w:val="22"/>
          <w:szCs w:val="22"/>
        </w:rPr>
      </w:pPr>
      <w:r>
        <w:rPr>
          <w:rStyle w:val="A4"/>
          <w:b/>
          <w:bCs/>
          <w:color w:val="auto"/>
        </w:rPr>
        <w:t>&gt; WEITERLESEN:</w:t>
      </w:r>
    </w:p>
    <w:p w:rsidR="00FE3CCF" w:rsidRDefault="00FE3CCF" w:rsidP="00FE3CCF">
      <w:pPr>
        <w:pStyle w:val="Pa84"/>
        <w:ind w:left="340"/>
        <w:rPr>
          <w:sz w:val="22"/>
          <w:szCs w:val="22"/>
        </w:rPr>
      </w:pPr>
      <w:r>
        <w:rPr>
          <w:rStyle w:val="A4"/>
          <w:color w:val="auto"/>
        </w:rPr>
        <w:t xml:space="preserve">http://bvl-legasthenie.de </w:t>
      </w:r>
      <w:r>
        <w:rPr>
          <w:sz w:val="22"/>
          <w:szCs w:val="22"/>
        </w:rPr>
        <w:t>– Bundesverband Legasthenie und Dyskalkulie</w:t>
      </w:r>
    </w:p>
    <w:p w:rsidR="00FE3CCF" w:rsidRDefault="00FE3CCF" w:rsidP="00FE3CCF">
      <w:pPr>
        <w:pStyle w:val="Pa84"/>
        <w:ind w:left="340"/>
        <w:rPr>
          <w:sz w:val="22"/>
          <w:szCs w:val="22"/>
        </w:rPr>
      </w:pPr>
      <w:r>
        <w:rPr>
          <w:rStyle w:val="A4"/>
          <w:color w:val="auto"/>
        </w:rPr>
        <w:t xml:space="preserve">www.interdys.org </w:t>
      </w:r>
      <w:r>
        <w:rPr>
          <w:sz w:val="22"/>
          <w:szCs w:val="22"/>
        </w:rPr>
        <w:t xml:space="preserve">– The international </w:t>
      </w:r>
      <w:proofErr w:type="spellStart"/>
      <w:r>
        <w:rPr>
          <w:sz w:val="22"/>
          <w:szCs w:val="22"/>
        </w:rPr>
        <w:t>dyslexia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association</w:t>
      </w:r>
      <w:proofErr w:type="spellEnd"/>
    </w:p>
    <w:p w:rsidR="0089058E" w:rsidRPr="00B60154" w:rsidRDefault="00B60154" w:rsidP="00FE3CCF">
      <w:pPr>
        <w:rPr>
          <w:rFonts w:ascii="Arial" w:hAnsi="Arial" w:cs="Arial"/>
        </w:rPr>
      </w:pPr>
      <w:r w:rsidRPr="00B60154">
        <w:rPr>
          <w:rStyle w:val="A4"/>
          <w:rFonts w:ascii="Arial" w:hAnsi="Arial" w:cs="Arial"/>
          <w:color w:val="auto"/>
          <w:u w:val="none"/>
        </w:rPr>
        <w:t xml:space="preserve">     </w:t>
      </w:r>
      <w:r w:rsidR="00FE3CCF" w:rsidRPr="00B60154">
        <w:rPr>
          <w:rStyle w:val="A4"/>
          <w:rFonts w:ascii="Arial" w:hAnsi="Arial" w:cs="Arial"/>
          <w:color w:val="auto"/>
        </w:rPr>
        <w:t xml:space="preserve">www.dyslexia-international.org </w:t>
      </w:r>
      <w:r w:rsidR="00FE3CCF" w:rsidRPr="00B60154">
        <w:rPr>
          <w:rFonts w:ascii="Arial" w:hAnsi="Arial" w:cs="Arial"/>
        </w:rPr>
        <w:t xml:space="preserve">– </w:t>
      </w:r>
      <w:proofErr w:type="spellStart"/>
      <w:r w:rsidR="00FE3CCF" w:rsidRPr="00B60154">
        <w:rPr>
          <w:rFonts w:ascii="Arial" w:hAnsi="Arial" w:cs="Arial"/>
        </w:rPr>
        <w:t>Dyslexia</w:t>
      </w:r>
      <w:proofErr w:type="spellEnd"/>
      <w:r w:rsidR="00FE3CCF" w:rsidRPr="00B60154">
        <w:rPr>
          <w:rFonts w:ascii="Arial" w:hAnsi="Arial" w:cs="Arial"/>
        </w:rPr>
        <w:t xml:space="preserve"> International</w:t>
      </w:r>
    </w:p>
    <w:sectPr w:rsidR="0089058E" w:rsidRPr="00B60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F"/>
    <w:rsid w:val="001913DA"/>
    <w:rsid w:val="0089058E"/>
    <w:rsid w:val="00B60154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A5BD"/>
  <w15:chartTrackingRefBased/>
  <w15:docId w15:val="{8528A1E0-FDDC-4AEB-B965-C106A30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3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E3CCF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FE3CCF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E3CCF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E3CCF"/>
    <w:rPr>
      <w:color w:val="000000"/>
      <w:sz w:val="22"/>
      <w:szCs w:val="22"/>
      <w:u w:val="single"/>
    </w:rPr>
  </w:style>
  <w:style w:type="paragraph" w:customStyle="1" w:styleId="Pa84">
    <w:name w:val="Pa84"/>
    <w:basedOn w:val="Default"/>
    <w:next w:val="Default"/>
    <w:uiPriority w:val="99"/>
    <w:rsid w:val="00FE3CCF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 NÃ¼rnberg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Messmann, Ursula</dc:creator>
  <cp:keywords/>
  <dc:description/>
  <cp:lastModifiedBy>Messmann, Ursula</cp:lastModifiedBy>
  <cp:revision>2</cp:revision>
  <dcterms:created xsi:type="dcterms:W3CDTF">2018-09-05T09:58:00Z</dcterms:created>
  <dcterms:modified xsi:type="dcterms:W3CDTF">2018-09-06T09:02:00Z</dcterms:modified>
</cp:coreProperties>
</file>