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FF" w:rsidRDefault="000F6FD8" w:rsidP="00C02CAA">
      <w:pPr>
        <w:pStyle w:val="berschrift1"/>
      </w:pPr>
      <w:r>
        <w:t>Datenschutzhinweise zu Zoom</w:t>
      </w:r>
      <w:bookmarkStart w:id="0" w:name="_GoBack"/>
      <w:bookmarkEnd w:id="0"/>
    </w:p>
    <w:p w:rsidR="00E2029D" w:rsidRDefault="000B350C">
      <w:r>
        <w:t>D</w:t>
      </w:r>
      <w:r w:rsidR="009A63FB">
        <w:t>ie aktuelle Krisensituation und de</w:t>
      </w:r>
      <w:r>
        <w:t>r</w:t>
      </w:r>
      <w:r w:rsidR="009A63FB">
        <w:t xml:space="preserve"> begleitende Umstieg auf die digitale Lehre hat zu einem erhöhten Bedarf an </w:t>
      </w:r>
      <w:proofErr w:type="spellStart"/>
      <w:r w:rsidR="009A63FB">
        <w:t>Videoconferencing</w:t>
      </w:r>
      <w:proofErr w:type="spellEnd"/>
      <w:r w:rsidR="009A63FB">
        <w:t xml:space="preserve"> Lösungen geführt. </w:t>
      </w:r>
      <w:r w:rsidR="00F67CCD">
        <w:t>Die Universitäts- und Hochschulleitung</w:t>
      </w:r>
      <w:r w:rsidR="00393044">
        <w:t>en</w:t>
      </w:r>
      <w:r w:rsidR="00F67CCD">
        <w:t xml:space="preserve"> haben gemeinsam mit den CIOs d</w:t>
      </w:r>
      <w:r w:rsidR="00393044">
        <w:t>er bayerischen Hochschulen</w:t>
      </w:r>
      <w:r w:rsidR="00F67CCD">
        <w:t xml:space="preserve"> als belastbare Lösung Zoom ausgewählt</w:t>
      </w:r>
      <w:r w:rsidR="009C5DD1">
        <w:t xml:space="preserve">. Zoom ist in den letzten Wochen durch den Lockdown immer stärker in den Fokus der Berichterstattung geraten und es wurden einige Datenschutz- und Sicherheitsprobleme erkannt, die von dem Unternehmen in den letzten Wochen auch offensiv bearbeitet werden. </w:t>
      </w:r>
    </w:p>
    <w:p w:rsidR="009C5DD1" w:rsidRDefault="009C5DD1">
      <w:r>
        <w:t xml:space="preserve">Die Sicherheit und </w:t>
      </w:r>
      <w:r w:rsidR="00393044">
        <w:t>der Datenschutz stehen</w:t>
      </w:r>
      <w:r>
        <w:t xml:space="preserve"> im Vordergrund und der Einsatz von Zoom wird in den kommenden Monaten sehr genau überwacht. Im Rahmen der </w:t>
      </w:r>
      <w:r w:rsidR="000B350C">
        <w:t>Campus-Lizenz sind aber</w:t>
      </w:r>
      <w:r>
        <w:t xml:space="preserve"> mehr Einstellungen möglich, die </w:t>
      </w:r>
      <w:r w:rsidR="000B350C">
        <w:t xml:space="preserve">die Sicherheit und den Datenschutz deutlich erhöhen. </w:t>
      </w:r>
      <w:r w:rsidR="000B350C" w:rsidRPr="000B350C">
        <w:t>Neben der St</w:t>
      </w:r>
      <w:r w:rsidR="000B350C">
        <w:t>andard-Lizenz ist mit Zoom ein</w:t>
      </w:r>
      <w:r w:rsidR="000B350C" w:rsidRPr="000B350C">
        <w:t xml:space="preserve"> Vertrag zur Auftragsverarbeitung abgeschlossen</w:t>
      </w:r>
      <w:r w:rsidR="00393044">
        <w:t xml:space="preserve"> worden</w:t>
      </w:r>
      <w:r w:rsidR="000B350C" w:rsidRPr="000B350C">
        <w:t xml:space="preserve">, der nach Einschätzung der bayerischen Stabsstelle für IT-Recht viele in den vergangenen Tagen publizierten kritischen Punkte in Bezug auf den Datenschutz beseitigt. Weitere Verbesserungen der rechtlichen Bedingungen kommen aus dem zusätzlich abgeschlossenen Master </w:t>
      </w:r>
      <w:proofErr w:type="spellStart"/>
      <w:r w:rsidR="000B350C" w:rsidRPr="000B350C">
        <w:t>Subscription</w:t>
      </w:r>
      <w:proofErr w:type="spellEnd"/>
      <w:r w:rsidR="000B350C" w:rsidRPr="000B350C">
        <w:t xml:space="preserve"> Agreement mit Zoom.</w:t>
      </w:r>
      <w:r w:rsidR="000B350C">
        <w:t xml:space="preserve"> </w:t>
      </w:r>
    </w:p>
    <w:p w:rsidR="00C4737D" w:rsidRDefault="00C4737D">
      <w:r>
        <w:t>Einen sehr guten Überblick zum aktuellen Stand von Zoom</w:t>
      </w:r>
      <w:r w:rsidR="00240A63">
        <w:t xml:space="preserve"> aus Datenschutz- und Sicherheitsaspekten</w:t>
      </w:r>
      <w:r w:rsidR="00F512BE">
        <w:t xml:space="preserve"> und dem Einsatz an den bayerischen Universitäten und Hochschulen</w:t>
      </w:r>
      <w:r>
        <w:t xml:space="preserve"> finden Sie auf den Seiten der Stabsste</w:t>
      </w:r>
      <w:r w:rsidR="00F512BE">
        <w:t>lle IT-Recht, woraus auch einige Textpassagen übernommen wurden</w:t>
      </w:r>
      <w:r>
        <w:t xml:space="preserve">: </w:t>
      </w:r>
    </w:p>
    <w:p w:rsidR="00C4737D" w:rsidRDefault="000F6FD8">
      <w:hyperlink r:id="rId5" w:history="1">
        <w:r w:rsidR="00C4737D" w:rsidRPr="00D807B9">
          <w:rPr>
            <w:rStyle w:val="Hyperlink"/>
          </w:rPr>
          <w:t>https://www.rz.uni-wuerzburg.de/de/dienste/it-recht/it-vertraege/zoom/</w:t>
        </w:r>
      </w:hyperlink>
      <w:r w:rsidR="00C4737D">
        <w:t xml:space="preserve"> </w:t>
      </w:r>
    </w:p>
    <w:p w:rsidR="009A63FB" w:rsidRDefault="00E47286">
      <w:r>
        <w:t>Um die zu erwartende</w:t>
      </w:r>
      <w:r w:rsidR="000B350C">
        <w:t>n</w:t>
      </w:r>
      <w:r>
        <w:t xml:space="preserve"> Belastung</w:t>
      </w:r>
      <w:r w:rsidR="000B350C">
        <w:t>en</w:t>
      </w:r>
      <w:r>
        <w:t xml:space="preserve"> an alle angebotenen Dienste ab dem 20. April etwas abzufedern, bietet die Technische Hochschule Nürnberg Georg Simon Ohm v</w:t>
      </w:r>
      <w:r w:rsidR="00F512BE">
        <w:t>erschiedene Dienste an, die</w:t>
      </w:r>
      <w:r>
        <w:t xml:space="preserve"> digitale Lehre ermöglichen. Neben Zoom werden auch noch die DFN Angebote </w:t>
      </w:r>
      <w:proofErr w:type="spellStart"/>
      <w:r>
        <w:t>pexip</w:t>
      </w:r>
      <w:proofErr w:type="spellEnd"/>
      <w:r>
        <w:t xml:space="preserve"> und Adobe Connect und zusätzlich Microsoft Teams angeboten. </w:t>
      </w:r>
      <w:r w:rsidR="00393044">
        <w:t>Je</w:t>
      </w:r>
      <w:r w:rsidR="009C5DD1">
        <w:t xml:space="preserve"> nachdem welche Lösung für Sie besser geeignet ist, stehen Ihnen diese verschiedenen Angebote zur Verfügung. </w:t>
      </w:r>
    </w:p>
    <w:p w:rsidR="00C02CAA" w:rsidRDefault="00C02CAA"/>
    <w:p w:rsidR="00C02CAA" w:rsidRDefault="00C02CAA" w:rsidP="00C02CAA">
      <w:pPr>
        <w:pStyle w:val="berschrift1"/>
      </w:pPr>
      <w:r w:rsidRPr="00C02CAA">
        <w:t>Einstellungen für Zoom der Technischen Hochschule Nürnberg</w:t>
      </w:r>
    </w:p>
    <w:p w:rsidR="00C02CAA" w:rsidRDefault="00C02CAA">
      <w:r w:rsidRPr="00C02CAA">
        <w:t xml:space="preserve">In der Zoom Instanz der Technischen Hochschule Nürnberg sind alle datenschutz- und sicherheitsrelevanten Optionen aktiviert, sofern sie dem eigentlichen Einsatzzweck nicht </w:t>
      </w:r>
      <w:proofErr w:type="gramStart"/>
      <w:r w:rsidRPr="00C02CAA">
        <w:t>entgegen stehen</w:t>
      </w:r>
      <w:proofErr w:type="gramEnd"/>
      <w:r w:rsidRPr="00C02CAA">
        <w:t>. Weitere Informationen und Handlungsempfehlungen, die die Sicherheit erhöhen können finden Sie bei den Tipps zum Einsatz von Zoom.</w:t>
      </w:r>
    </w:p>
    <w:p w:rsidR="00C02CAA" w:rsidRDefault="00C02CAA"/>
    <w:p w:rsidR="00C02CAA" w:rsidRDefault="00C02CAA" w:rsidP="00C02CAA">
      <w:pPr>
        <w:pStyle w:val="berschrift1"/>
      </w:pPr>
      <w:r w:rsidRPr="00C02CAA">
        <w:t>Datenschutzinformation über die Verarbeitung personenbezogener Daten (Bayern)</w:t>
      </w:r>
    </w:p>
    <w:p w:rsidR="00C02CAA" w:rsidRDefault="00C02CAA" w:rsidP="00C02CAA">
      <w:pPr>
        <w:pStyle w:val="berschrift2"/>
      </w:pPr>
      <w:r>
        <w:br/>
      </w:r>
      <w:r w:rsidRPr="00C02CAA">
        <w:t>Verantwortliche und deren Datenschutzbeauftrage (neben dem Lizenznehmer)</w:t>
      </w:r>
    </w:p>
    <w:p w:rsidR="00C02CAA" w:rsidRDefault="00C02CAA" w:rsidP="00C02CAA">
      <w:pPr>
        <w:spacing w:line="240" w:lineRule="auto"/>
      </w:pPr>
      <w:r>
        <w:t>Zoom Video Communications, Inc.</w:t>
      </w:r>
    </w:p>
    <w:p w:rsidR="00C02CAA" w:rsidRDefault="00C02CAA" w:rsidP="00C02CAA">
      <w:pPr>
        <w:spacing w:line="240" w:lineRule="auto"/>
      </w:pPr>
      <w:r>
        <w:t xml:space="preserve">55 </w:t>
      </w:r>
      <w:proofErr w:type="spellStart"/>
      <w:r>
        <w:t>Almaden</w:t>
      </w:r>
      <w:proofErr w:type="spellEnd"/>
      <w:r>
        <w:t xml:space="preserve"> Boulevard</w:t>
      </w:r>
    </w:p>
    <w:p w:rsidR="00C02CAA" w:rsidRDefault="00C02CAA" w:rsidP="00C02CAA">
      <w:pPr>
        <w:spacing w:line="240" w:lineRule="auto"/>
      </w:pPr>
      <w:r>
        <w:t>San Jose, CA 95113</w:t>
      </w:r>
    </w:p>
    <w:p w:rsidR="00C02CAA" w:rsidRDefault="00C02CAA" w:rsidP="00C02CAA">
      <w:pPr>
        <w:spacing w:line="240" w:lineRule="auto"/>
      </w:pPr>
      <w:r>
        <w:t>United States</w:t>
      </w:r>
    </w:p>
    <w:p w:rsidR="00C02CAA" w:rsidRDefault="00C02CAA" w:rsidP="00C02CAA">
      <w:r>
        <w:lastRenderedPageBreak/>
        <w:t xml:space="preserve">Datenschutz: </w:t>
      </w:r>
      <w:hyperlink r:id="rId6" w:history="1">
        <w:r w:rsidRPr="00E2636B">
          <w:rPr>
            <w:rStyle w:val="Hyperlink"/>
          </w:rPr>
          <w:t>https://zoom.us/privacy?zcid=1231</w:t>
        </w:r>
      </w:hyperlink>
      <w:r>
        <w:t xml:space="preserve"> </w:t>
      </w:r>
    </w:p>
    <w:p w:rsidR="00C02CAA" w:rsidRDefault="00C02CAA" w:rsidP="00C02CAA"/>
    <w:p w:rsidR="00C02CAA" w:rsidRDefault="00387841" w:rsidP="00387841">
      <w:pPr>
        <w:pStyle w:val="berschrift1"/>
      </w:pPr>
      <w:r w:rsidRPr="00387841">
        <w:t>Betroffenenrechte</w:t>
      </w:r>
    </w:p>
    <w:p w:rsidR="00387841" w:rsidRDefault="00387841" w:rsidP="00387841">
      <w:r>
        <w:t>Allgemein</w:t>
      </w:r>
    </w:p>
    <w:p w:rsidR="00387841" w:rsidRDefault="00387841" w:rsidP="00387841">
      <w:r>
        <w:t>Hinsichtlich der Verarbeitung Ihrer personenbezogenen Daten stehen Ihnen als einer betroffenen Person die nachfolgend genannten Rechte gemäß Art. 15 ff. DSGVO zu:</w:t>
      </w:r>
    </w:p>
    <w:p w:rsidR="00387841" w:rsidRDefault="00387841" w:rsidP="00387841">
      <w:pPr>
        <w:pStyle w:val="Listenabsatz"/>
        <w:numPr>
          <w:ilvl w:val="0"/>
          <w:numId w:val="1"/>
        </w:numPr>
      </w:pPr>
      <w:r>
        <w:t xml:space="preserve">Sie können Auskunft darüber verlangen, ob wir personenbezogene Daten von Ihnen verarbeiten. Ist dies der Fall, so haben Sie ein Recht auf Auskunft über diese personenbezogenen Daten sowie auf weitere mit der Verarbeitung zusammenhängende Informationen (Art. 15 DSGVO). Bitte beachten Sie, dass dieses Auskunftsrecht in bestimmten Fällen eingeschränkt oder ausgeschlossen sein kann (vgl. insbesondere Art. 10 </w:t>
      </w:r>
      <w:proofErr w:type="spellStart"/>
      <w:r>
        <w:t>BayDSG</w:t>
      </w:r>
      <w:proofErr w:type="spellEnd"/>
      <w:r>
        <w:t>).</w:t>
      </w:r>
    </w:p>
    <w:p w:rsidR="00387841" w:rsidRDefault="00387841" w:rsidP="00387841">
      <w:pPr>
        <w:pStyle w:val="Listenabsatz"/>
        <w:numPr>
          <w:ilvl w:val="0"/>
          <w:numId w:val="1"/>
        </w:numPr>
      </w:pPr>
      <w:r>
        <w:t>Für den Fall, dass personenbezogene Daten über Sie nicht (mehr) zutreffend oder unvollständig sind, können Sie eine Berichtigung und gegebenenfalls Vervollständigung dieser Daten verlangen (Art. 16 DSGVO).</w:t>
      </w:r>
    </w:p>
    <w:p w:rsidR="00387841" w:rsidRDefault="00387841" w:rsidP="00387841">
      <w:pPr>
        <w:pStyle w:val="Listenabsatz"/>
        <w:numPr>
          <w:ilvl w:val="0"/>
          <w:numId w:val="1"/>
        </w:numPr>
      </w:pPr>
      <w:r>
        <w:t>Bei Vorliegen der gesetzlichen Voraussetzungen können Sie die Löschung Ihrer personenbezogenen Daten (Art. 17 DSGVO) oder die Einschränkung der Verarbeitung dieser Daten (Art. 18 DSGVO) verlangen. 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 b DSGVO).</w:t>
      </w:r>
    </w:p>
    <w:p w:rsidR="00387841" w:rsidRDefault="00387841" w:rsidP="00387841">
      <w:pPr>
        <w:pStyle w:val="Listenabsatz"/>
        <w:numPr>
          <w:ilvl w:val="0"/>
          <w:numId w:val="1"/>
        </w:numPr>
      </w:pPr>
      <w:r>
        <w:t>Wenn Sie in die Verarbeitung eingewilligt haben oder ein Vertrag zur Datenverarbeitung besteht und die Datenverarbeitung mithilfe automatisierter Verfahren durchgeführt wird, steht Ihnen gegebenenfalls ein Recht auf Datenübertragbarkeit zu (Art. 20 DSGVO).</w:t>
      </w:r>
    </w:p>
    <w:p w:rsidR="00387841" w:rsidRDefault="00387841" w:rsidP="00387841">
      <w:pPr>
        <w:pStyle w:val="Listenabsatz"/>
        <w:numPr>
          <w:ilvl w:val="0"/>
          <w:numId w:val="1"/>
        </w:numPr>
      </w:pPr>
      <w:r>
        <w:t xml:space="preserve">Sie haben das Recht, sich bei einer Aufsichtsbehörde im Sinn des Art. 51 DSGVO über die Verarbeitung Ihrer personenbezogenen Daten zu beschweren. Zuständige Aufsichtsbehörde für bayerische öffentliche Stellen ist der Bayerische Landesbeauftragte für den Datenschutz, </w:t>
      </w:r>
      <w:proofErr w:type="spellStart"/>
      <w:r>
        <w:t>Wagmüllerstraße</w:t>
      </w:r>
      <w:proofErr w:type="spellEnd"/>
      <w:r>
        <w:t xml:space="preserve"> 18, 80538 München.</w:t>
      </w:r>
    </w:p>
    <w:p w:rsidR="00C02CAA" w:rsidRDefault="00387841" w:rsidP="00387841">
      <w:r>
        <w:t>Über Ihr Widerrufsrecht und Ihr Widerspruchsrecht informieren wir Sie gesondert.</w:t>
      </w:r>
    </w:p>
    <w:p w:rsidR="00C02CAA" w:rsidRDefault="00C02CAA" w:rsidP="00C02CAA"/>
    <w:p w:rsidR="00387841" w:rsidRDefault="00387841" w:rsidP="00387841">
      <w:pPr>
        <w:pStyle w:val="berschrift2"/>
      </w:pPr>
      <w:r>
        <w:t>Widerspruchsrecht</w:t>
      </w:r>
    </w:p>
    <w:p w:rsidR="00C02CAA" w:rsidRDefault="00387841" w:rsidP="00387841">
      <w:r>
        <w:t>Aus Gründen, die sich aus Ihrer besonderen Situation ergeben, können Sie der Verarbeitung Sie betreffender personenbezogener Daten durch uns zudem jederzeit widersprechen (Art. 21 DSGVO). Sofern die gesetzlichen Voraussetzungen vorliegen, verarbeiten wir in der Folge Ihre personenbezogenen Daten nicht mehr.</w:t>
      </w:r>
    </w:p>
    <w:p w:rsidR="00C02CAA" w:rsidRDefault="00C02CAA" w:rsidP="00C02CAA"/>
    <w:p w:rsidR="00C02CAA" w:rsidRDefault="00387841" w:rsidP="00387841">
      <w:pPr>
        <w:pStyle w:val="berschrift1"/>
      </w:pPr>
      <w:r>
        <w:t>Zweck</w:t>
      </w:r>
    </w:p>
    <w:p w:rsidR="00C02CAA" w:rsidRDefault="00387841" w:rsidP="00387841">
      <w:r>
        <w:t>Bezug und Nutzung der Videokonferenz-Lösung als Hilfsmittel für die Lehre, Forschung und Verwaltung. Dies umfasst die Nutzung der lizenzierten Produkte und Services, Bereitstellung von Updates, Gewährleistung der Informationssicherheit sowie technischen und kundenbezogenen-Support.</w:t>
      </w:r>
    </w:p>
    <w:p w:rsidR="00C02CAA" w:rsidRDefault="00C02CAA" w:rsidP="00C02CAA"/>
    <w:p w:rsidR="00C02CAA" w:rsidRDefault="00387841" w:rsidP="00387841">
      <w:pPr>
        <w:pStyle w:val="berschrift1"/>
      </w:pPr>
      <w:r>
        <w:lastRenderedPageBreak/>
        <w:t>Rechtsgrundlagen für die Verarbeitung</w:t>
      </w:r>
    </w:p>
    <w:p w:rsidR="00387841" w:rsidRDefault="00387841" w:rsidP="00387841">
      <w:pPr>
        <w:pStyle w:val="Listenabsatz"/>
        <w:ind w:left="360"/>
      </w:pPr>
      <w:r w:rsidRPr="00387841">
        <w:rPr>
          <w:b/>
        </w:rPr>
        <w:t>Für die Statistik</w:t>
      </w:r>
      <w:r w:rsidRPr="00387841">
        <w:rPr>
          <w:b/>
        </w:rPr>
        <w:br/>
      </w:r>
      <w:r>
        <w:t xml:space="preserve">Art. 6 Abs. 1 </w:t>
      </w:r>
      <w:proofErr w:type="spellStart"/>
      <w:r>
        <w:t>lit</w:t>
      </w:r>
      <w:proofErr w:type="spellEnd"/>
      <w:r>
        <w:t xml:space="preserve">. e </w:t>
      </w:r>
      <w:proofErr w:type="spellStart"/>
      <w:r>
        <w:t>i.V.m</w:t>
      </w:r>
      <w:proofErr w:type="spellEnd"/>
      <w:r>
        <w:t xml:space="preserve">. Art. 4 </w:t>
      </w:r>
      <w:proofErr w:type="spellStart"/>
      <w:r>
        <w:t>BayDSG</w:t>
      </w:r>
      <w:proofErr w:type="spellEnd"/>
      <w:r>
        <w:t xml:space="preserve"> (Art. 10 Abs. 1 </w:t>
      </w:r>
      <w:proofErr w:type="spellStart"/>
      <w:r>
        <w:t>BayHSchG</w:t>
      </w:r>
      <w:proofErr w:type="spellEnd"/>
      <w:r>
        <w:t xml:space="preserve">, Art. 7 </w:t>
      </w:r>
      <w:proofErr w:type="spellStart"/>
      <w:r>
        <w:t>BayHO</w:t>
      </w:r>
      <w:proofErr w:type="spellEnd"/>
      <w:r>
        <w:t>)</w:t>
      </w:r>
    </w:p>
    <w:p w:rsidR="00387841" w:rsidRPr="00387841" w:rsidRDefault="00387841" w:rsidP="00387841">
      <w:pPr>
        <w:pStyle w:val="Listenabsatz"/>
        <w:ind w:left="360"/>
        <w:rPr>
          <w:b/>
        </w:rPr>
      </w:pPr>
      <w:r w:rsidRPr="00387841">
        <w:rPr>
          <w:b/>
        </w:rPr>
        <w:t>Für die Lehre</w:t>
      </w:r>
    </w:p>
    <w:p w:rsidR="00387841" w:rsidRDefault="00387841" w:rsidP="00387841">
      <w:pPr>
        <w:pStyle w:val="Listenabsatz"/>
        <w:ind w:left="360"/>
      </w:pPr>
      <w:r>
        <w:t xml:space="preserve">Art. 6 Abs. 1 </w:t>
      </w:r>
      <w:proofErr w:type="spellStart"/>
      <w:r>
        <w:t>lit</w:t>
      </w:r>
      <w:proofErr w:type="spellEnd"/>
      <w:r>
        <w:t xml:space="preserve">. e DSGVI </w:t>
      </w:r>
      <w:proofErr w:type="spellStart"/>
      <w:r>
        <w:t>i.V.m</w:t>
      </w:r>
      <w:proofErr w:type="spellEnd"/>
      <w:r>
        <w:t xml:space="preserve"> Art. 4 </w:t>
      </w:r>
      <w:proofErr w:type="spellStart"/>
      <w:r>
        <w:t>BayDSG</w:t>
      </w:r>
      <w:proofErr w:type="spellEnd"/>
      <w:r>
        <w:t xml:space="preserve"> (Art. 55 Abs. 2 </w:t>
      </w:r>
      <w:proofErr w:type="spellStart"/>
      <w:r>
        <w:t>BayHSchG</w:t>
      </w:r>
      <w:proofErr w:type="spellEnd"/>
      <w:r>
        <w:t>)</w:t>
      </w:r>
    </w:p>
    <w:p w:rsidR="00387841" w:rsidRDefault="00387841" w:rsidP="00387841">
      <w:pPr>
        <w:pStyle w:val="Listenabsatz"/>
        <w:ind w:left="360"/>
      </w:pPr>
      <w:r w:rsidRPr="00387841">
        <w:rPr>
          <w:b/>
        </w:rPr>
        <w:t xml:space="preserve">Für die Beschäftigten: </w:t>
      </w:r>
      <w:r w:rsidRPr="00387841">
        <w:rPr>
          <w:b/>
        </w:rPr>
        <w:br/>
      </w:r>
      <w:r>
        <w:t xml:space="preserve">Art. 6 Abs. 1 </w:t>
      </w:r>
      <w:proofErr w:type="spellStart"/>
      <w:r>
        <w:t>lit</w:t>
      </w:r>
      <w:proofErr w:type="spellEnd"/>
      <w:r>
        <w:t xml:space="preserve">. b DSGVO </w:t>
      </w:r>
      <w:proofErr w:type="spellStart"/>
      <w:r>
        <w:t>i.V.m</w:t>
      </w:r>
      <w:proofErr w:type="spellEnd"/>
      <w:r>
        <w:t xml:space="preserve">. Art. 4 </w:t>
      </w:r>
      <w:proofErr w:type="spellStart"/>
      <w:r>
        <w:t>BayDSG</w:t>
      </w:r>
      <w:proofErr w:type="spellEnd"/>
      <w:r>
        <w:t xml:space="preserve"> (§ 106 </w:t>
      </w:r>
      <w:r w:rsidRPr="00C516F5">
        <w:t>Gewerbeordnung</w:t>
      </w:r>
      <w:r>
        <w:t>)</w:t>
      </w:r>
    </w:p>
    <w:p w:rsidR="00387841" w:rsidRDefault="00387841" w:rsidP="00387841">
      <w:pPr>
        <w:pStyle w:val="Listenabsatz"/>
        <w:ind w:left="360"/>
      </w:pPr>
      <w:r w:rsidRPr="00E6752A">
        <w:t xml:space="preserve">Art. 6 Abs. 1 </w:t>
      </w:r>
      <w:proofErr w:type="spellStart"/>
      <w:r w:rsidRPr="00E6752A">
        <w:t>lit</w:t>
      </w:r>
      <w:proofErr w:type="spellEnd"/>
      <w:r w:rsidRPr="00E6752A">
        <w:t xml:space="preserve">. c DSGVO </w:t>
      </w:r>
      <w:proofErr w:type="spellStart"/>
      <w:r w:rsidRPr="00E6752A">
        <w:t>i.V.m</w:t>
      </w:r>
      <w:proofErr w:type="spellEnd"/>
      <w:r w:rsidRPr="00E6752A">
        <w:t xml:space="preserve">. </w:t>
      </w:r>
      <w:r>
        <w:t xml:space="preserve">art. 4 </w:t>
      </w:r>
      <w:proofErr w:type="spellStart"/>
      <w:r>
        <w:t>BayDSG</w:t>
      </w:r>
      <w:proofErr w:type="spellEnd"/>
      <w:r>
        <w:t xml:space="preserve"> (</w:t>
      </w:r>
      <w:r w:rsidRPr="00E6752A">
        <w:t>Art. 33 Ab</w:t>
      </w:r>
      <w:r>
        <w:t>s. 5 GG)</w:t>
      </w:r>
    </w:p>
    <w:p w:rsidR="00387841" w:rsidRPr="00387841" w:rsidRDefault="00387841" w:rsidP="00387841">
      <w:pPr>
        <w:pStyle w:val="Listenabsatz"/>
        <w:ind w:left="360"/>
        <w:rPr>
          <w:b/>
        </w:rPr>
      </w:pPr>
      <w:r w:rsidRPr="00387841">
        <w:rPr>
          <w:b/>
        </w:rPr>
        <w:t xml:space="preserve">Für Aufzeichnungen von Veranstaltungen: </w:t>
      </w:r>
    </w:p>
    <w:p w:rsidR="00387841" w:rsidRDefault="00387841" w:rsidP="00387841">
      <w:pPr>
        <w:pStyle w:val="Listenabsatz"/>
        <w:ind w:left="360"/>
      </w:pPr>
      <w:r>
        <w:t xml:space="preserve">Art. 6 Abs. 1 </w:t>
      </w:r>
      <w:proofErr w:type="spellStart"/>
      <w:r>
        <w:t>lit</w:t>
      </w:r>
      <w:proofErr w:type="spellEnd"/>
      <w:r>
        <w:t xml:space="preserve"> c DSGVO (bei gesetzlichen Dokumentationspflichten z.B. Prüfungen)</w:t>
      </w:r>
    </w:p>
    <w:p w:rsidR="00387841" w:rsidRDefault="00387841" w:rsidP="00387841">
      <w:pPr>
        <w:pStyle w:val="Listenabsatz"/>
        <w:ind w:left="360"/>
      </w:pPr>
      <w:r>
        <w:t xml:space="preserve">Art. 6 Abs. 1 </w:t>
      </w:r>
      <w:proofErr w:type="spellStart"/>
      <w:r>
        <w:t>lit</w:t>
      </w:r>
      <w:proofErr w:type="spellEnd"/>
      <w:r>
        <w:t>. b DSGVO bei Verträgen mit Aufzeichnungsverpflichtungen</w:t>
      </w:r>
    </w:p>
    <w:p w:rsidR="00387841" w:rsidRDefault="00387841" w:rsidP="00387841">
      <w:r>
        <w:t xml:space="preserve">Art. 6 Abs. 1 </w:t>
      </w:r>
      <w:proofErr w:type="spellStart"/>
      <w:r>
        <w:t>lit</w:t>
      </w:r>
      <w:proofErr w:type="spellEnd"/>
      <w:r>
        <w:t>. a DSGVO in den übrigen Fällen</w:t>
      </w:r>
    </w:p>
    <w:p w:rsidR="00387841" w:rsidRDefault="00387841" w:rsidP="00C02CAA"/>
    <w:p w:rsidR="00387841" w:rsidRDefault="00387841" w:rsidP="00387841">
      <w:pPr>
        <w:pStyle w:val="berschrift1"/>
      </w:pPr>
      <w:r>
        <w:t xml:space="preserve">Datenkategorien </w:t>
      </w:r>
      <w:r w:rsidR="003629BC">
        <w:t>(</w:t>
      </w:r>
      <w:r>
        <w:t>nur bei einer Registrierung und Anmeldung bei Zoom</w:t>
      </w:r>
      <w:r w:rsidR="003629BC">
        <w:t xml:space="preserve">) </w:t>
      </w:r>
    </w:p>
    <w:p w:rsidR="00387841" w:rsidRDefault="00387841" w:rsidP="00387841">
      <w:pPr>
        <w:pStyle w:val="Listenabsatz"/>
        <w:numPr>
          <w:ilvl w:val="0"/>
          <w:numId w:val="2"/>
        </w:numPr>
      </w:pPr>
      <w:r>
        <w:t>Benutzerprofil: Vorname, Nachname, Telefon (optional), E-Mail, Passwort (wenn SSO nicht verwendet wird), Profilbild (optional), Abteilung (optional)</w:t>
      </w:r>
    </w:p>
    <w:p w:rsidR="00387841" w:rsidRDefault="00387841" w:rsidP="00387841">
      <w:pPr>
        <w:pStyle w:val="Listenabsatz"/>
        <w:numPr>
          <w:ilvl w:val="0"/>
          <w:numId w:val="2"/>
        </w:numPr>
      </w:pPr>
      <w:r>
        <w:t>Meeting-Metadaten: Thema, Beschreibung (optional), Teilnehmer-IP-Adressen, Geräte-/Hardware-Informationen</w:t>
      </w:r>
      <w:r w:rsidR="003629BC">
        <w:t xml:space="preserve"> (werden immer erhoben) </w:t>
      </w:r>
    </w:p>
    <w:p w:rsidR="00387841" w:rsidRDefault="00387841" w:rsidP="00387841">
      <w:pPr>
        <w:pStyle w:val="Listenabsatz"/>
        <w:numPr>
          <w:ilvl w:val="0"/>
          <w:numId w:val="2"/>
        </w:numPr>
      </w:pPr>
      <w:r>
        <w:t>Meeting-Aufzeichnungen: Mp4 aller Video- und Audioaufnahmen und Präsentationen, M4A aller Audioaufnahmen, Textdatei aller in der Besprechung, Chats, Audio-Protokolldatei. An der TH Nürnberg sind derzeit keine Aufzeichnungen von Meetings möglich. Sie werden weder standardmäßig aufgezeichnet noch besteht derzeit die Möglichkeit als User aufzuzeichnen.</w:t>
      </w:r>
    </w:p>
    <w:p w:rsidR="00387841" w:rsidRDefault="00387841" w:rsidP="00387841">
      <w:pPr>
        <w:pStyle w:val="Listenabsatz"/>
        <w:numPr>
          <w:ilvl w:val="0"/>
          <w:numId w:val="2"/>
        </w:numPr>
      </w:pPr>
      <w:r>
        <w:t>IM-Chat-Protokolle</w:t>
      </w:r>
    </w:p>
    <w:p w:rsidR="00387841" w:rsidRDefault="00387841" w:rsidP="00387841">
      <w:pPr>
        <w:pStyle w:val="Listenabsatz"/>
        <w:numPr>
          <w:ilvl w:val="0"/>
          <w:numId w:val="2"/>
        </w:numPr>
      </w:pPr>
      <w:r>
        <w:t>Telefonie-Nutzungsdaten (optional): Rufnummer des Anrufers, Rufnummer des Anrufers, Name des Landes, IP-Adresse, 911-Adresse (registriert Dienstadresse), Start- und Endzeit, Hostname, Host-E-Mail, MAC-Adresse des verwendeten Geräts</w:t>
      </w:r>
    </w:p>
    <w:p w:rsidR="00387841" w:rsidRDefault="00387841" w:rsidP="00387841">
      <w:pPr>
        <w:pStyle w:val="Listenabsatz"/>
        <w:numPr>
          <w:ilvl w:val="0"/>
          <w:numId w:val="2"/>
        </w:numPr>
      </w:pPr>
      <w:r>
        <w:t>Rechnungs- und Beschaffungsdaten</w:t>
      </w:r>
    </w:p>
    <w:p w:rsidR="00387841" w:rsidRDefault="00387841" w:rsidP="00C02CAA"/>
    <w:p w:rsidR="00C02CAA" w:rsidRDefault="003629BC" w:rsidP="003629BC">
      <w:pPr>
        <w:pStyle w:val="berschrift1"/>
      </w:pPr>
      <w:r>
        <w:t>Kategorien von betroffenen Personen</w:t>
      </w:r>
    </w:p>
    <w:p w:rsidR="003629BC" w:rsidRDefault="003629BC" w:rsidP="003629BC">
      <w:pPr>
        <w:pStyle w:val="Listenabsatz"/>
        <w:numPr>
          <w:ilvl w:val="0"/>
          <w:numId w:val="3"/>
        </w:numPr>
      </w:pPr>
      <w:r>
        <w:t xml:space="preserve">Für die Datenkategorien 1-5 Personen, die Zoom nutzen oder administrieren. </w:t>
      </w:r>
    </w:p>
    <w:p w:rsidR="003629BC" w:rsidRDefault="003629BC" w:rsidP="003629BC">
      <w:pPr>
        <w:pStyle w:val="Listenabsatz"/>
        <w:numPr>
          <w:ilvl w:val="0"/>
          <w:numId w:val="3"/>
        </w:numPr>
      </w:pPr>
      <w:r>
        <w:t>Für die Datenkategorien 3-4, Personen, die in der Kommunikation und Dokumenten identifizierbar sind.</w:t>
      </w:r>
    </w:p>
    <w:p w:rsidR="00C02CAA" w:rsidRDefault="003629BC" w:rsidP="003629BC">
      <w:pPr>
        <w:pStyle w:val="Listenabsatz"/>
        <w:numPr>
          <w:ilvl w:val="0"/>
          <w:numId w:val="3"/>
        </w:numPr>
      </w:pPr>
      <w:r>
        <w:t>Für die Datenkategorie 6, Beschaffer und Anfordernde</w:t>
      </w:r>
    </w:p>
    <w:p w:rsidR="00C02CAA" w:rsidRDefault="00C02CAA" w:rsidP="00C02CAA"/>
    <w:p w:rsidR="003629BC" w:rsidRDefault="004425E8" w:rsidP="004425E8">
      <w:pPr>
        <w:pStyle w:val="berschrift1"/>
      </w:pPr>
      <w:r>
        <w:t xml:space="preserve">Empfänger </w:t>
      </w:r>
    </w:p>
    <w:p w:rsidR="003629BC" w:rsidRDefault="004425E8" w:rsidP="00C02CAA">
      <w:r>
        <w:t xml:space="preserve">Nachzulesen unter: </w:t>
      </w:r>
      <w:hyperlink r:id="rId7" w:history="1">
        <w:r w:rsidRPr="00F07FF0">
          <w:rPr>
            <w:rStyle w:val="Hyperlink"/>
          </w:rPr>
          <w:t>https://zoom.us/de-de/subprocessors.html</w:t>
        </w:r>
      </w:hyperlink>
      <w:r>
        <w:t xml:space="preserve"> </w:t>
      </w:r>
    </w:p>
    <w:tbl>
      <w:tblPr>
        <w:tblStyle w:val="Tabellenraster"/>
        <w:tblW w:w="9062" w:type="dxa"/>
        <w:tblLook w:val="04A0" w:firstRow="1" w:lastRow="0" w:firstColumn="1" w:lastColumn="0" w:noHBand="0" w:noVBand="1"/>
      </w:tblPr>
      <w:tblGrid>
        <w:gridCol w:w="704"/>
        <w:gridCol w:w="2268"/>
        <w:gridCol w:w="3544"/>
        <w:gridCol w:w="2546"/>
      </w:tblGrid>
      <w:tr w:rsidR="004425E8" w:rsidRPr="00925523" w:rsidTr="00195ED7">
        <w:tc>
          <w:tcPr>
            <w:tcW w:w="704" w:type="dxa"/>
          </w:tcPr>
          <w:p w:rsidR="004425E8" w:rsidRPr="00A354F9" w:rsidRDefault="004425E8" w:rsidP="00195ED7">
            <w:pPr>
              <w:spacing w:after="160" w:line="259" w:lineRule="auto"/>
            </w:pPr>
            <w:r>
              <w:t>1-6</w:t>
            </w:r>
          </w:p>
        </w:tc>
        <w:tc>
          <w:tcPr>
            <w:tcW w:w="2268" w:type="dxa"/>
          </w:tcPr>
          <w:p w:rsidR="004425E8" w:rsidRPr="00A354F9" w:rsidRDefault="004425E8" w:rsidP="00195ED7">
            <w:pPr>
              <w:spacing w:after="160" w:line="259" w:lineRule="auto"/>
              <w:rPr>
                <w:lang w:val="en-US"/>
              </w:rPr>
            </w:pPr>
            <w:r w:rsidRPr="0062707A">
              <w:rPr>
                <w:lang w:val="en-US"/>
              </w:rPr>
              <w:t>Zoom Video Communications, Inc.</w:t>
            </w:r>
          </w:p>
        </w:tc>
        <w:tc>
          <w:tcPr>
            <w:tcW w:w="3544" w:type="dxa"/>
          </w:tcPr>
          <w:p w:rsidR="004425E8" w:rsidRPr="00925523" w:rsidRDefault="004425E8" w:rsidP="00195ED7">
            <w:pPr>
              <w:spacing w:after="160" w:line="259" w:lineRule="auto"/>
            </w:pPr>
            <w:r w:rsidRPr="00925523">
              <w:t>Auftragsverarbeitung</w:t>
            </w:r>
          </w:p>
        </w:tc>
        <w:tc>
          <w:tcPr>
            <w:tcW w:w="2546" w:type="dxa"/>
          </w:tcPr>
          <w:p w:rsidR="004425E8" w:rsidRPr="00925523" w:rsidRDefault="004425E8" w:rsidP="00195ED7">
            <w:r w:rsidRPr="00925523">
              <w:t>Vereinigte Staaten von Amerika</w:t>
            </w:r>
            <w:r>
              <w:t xml:space="preserve"> und </w:t>
            </w:r>
            <w:proofErr w:type="spellStart"/>
            <w:r>
              <w:t>Unterauftragsverarbeiter</w:t>
            </w:r>
            <w:proofErr w:type="spellEnd"/>
          </w:p>
        </w:tc>
      </w:tr>
      <w:tr w:rsidR="004425E8" w:rsidRPr="00925523" w:rsidTr="00195ED7">
        <w:tc>
          <w:tcPr>
            <w:tcW w:w="704" w:type="dxa"/>
          </w:tcPr>
          <w:p w:rsidR="004425E8" w:rsidRPr="00626CAF" w:rsidRDefault="004425E8" w:rsidP="00195ED7">
            <w:pPr>
              <w:spacing w:after="160" w:line="259" w:lineRule="auto"/>
            </w:pPr>
          </w:p>
        </w:tc>
        <w:tc>
          <w:tcPr>
            <w:tcW w:w="2268" w:type="dxa"/>
          </w:tcPr>
          <w:p w:rsidR="004425E8" w:rsidRPr="00626CAF" w:rsidRDefault="004425E8" w:rsidP="00195ED7">
            <w:pPr>
              <w:spacing w:after="160" w:line="259" w:lineRule="auto"/>
            </w:pPr>
          </w:p>
        </w:tc>
        <w:tc>
          <w:tcPr>
            <w:tcW w:w="3544" w:type="dxa"/>
          </w:tcPr>
          <w:p w:rsidR="004425E8" w:rsidRPr="008A300E" w:rsidRDefault="004425E8" w:rsidP="00195ED7">
            <w:pPr>
              <w:spacing w:after="160" w:line="259" w:lineRule="auto"/>
              <w:rPr>
                <w:b/>
              </w:rPr>
            </w:pPr>
            <w:proofErr w:type="spellStart"/>
            <w:r w:rsidRPr="008A300E">
              <w:rPr>
                <w:b/>
              </w:rPr>
              <w:t>Unterauftragsverarbeiter</w:t>
            </w:r>
            <w:proofErr w:type="spellEnd"/>
          </w:p>
        </w:tc>
        <w:tc>
          <w:tcPr>
            <w:tcW w:w="2546" w:type="dxa"/>
          </w:tcPr>
          <w:p w:rsidR="004425E8" w:rsidRPr="00925523" w:rsidRDefault="004425E8" w:rsidP="00195ED7">
            <w:pPr>
              <w:spacing w:after="160" w:line="259" w:lineRule="auto"/>
            </w:pPr>
          </w:p>
        </w:tc>
      </w:tr>
      <w:tr w:rsidR="004425E8" w:rsidRPr="008A05FC" w:rsidTr="00195ED7">
        <w:tc>
          <w:tcPr>
            <w:tcW w:w="704" w:type="dxa"/>
          </w:tcPr>
          <w:p w:rsidR="004425E8" w:rsidRPr="00777617" w:rsidRDefault="004425E8" w:rsidP="00195ED7">
            <w:pPr>
              <w:spacing w:after="160" w:line="259" w:lineRule="auto"/>
              <w:rPr>
                <w:lang w:val="en-US"/>
              </w:rPr>
            </w:pPr>
            <w:r>
              <w:rPr>
                <w:lang w:val="en-US"/>
              </w:rPr>
              <w:t>1-6</w:t>
            </w:r>
          </w:p>
        </w:tc>
        <w:tc>
          <w:tcPr>
            <w:tcW w:w="2268" w:type="dxa"/>
          </w:tcPr>
          <w:p w:rsidR="004425E8" w:rsidRPr="0001214E" w:rsidRDefault="004425E8" w:rsidP="00195ED7">
            <w:pPr>
              <w:spacing w:after="160" w:line="259" w:lineRule="auto"/>
              <w:rPr>
                <w:lang w:val="en-US"/>
              </w:rPr>
            </w:pPr>
            <w:proofErr w:type="spellStart"/>
            <w:r w:rsidRPr="00A619A7">
              <w:rPr>
                <w:lang w:val="en-US"/>
              </w:rPr>
              <w:t>Zendesk</w:t>
            </w:r>
            <w:proofErr w:type="spellEnd"/>
          </w:p>
        </w:tc>
        <w:tc>
          <w:tcPr>
            <w:tcW w:w="3544" w:type="dxa"/>
          </w:tcPr>
          <w:p w:rsidR="004425E8" w:rsidRPr="008A05FC" w:rsidRDefault="004425E8" w:rsidP="00195ED7">
            <w:pPr>
              <w:spacing w:after="160" w:line="259" w:lineRule="auto"/>
            </w:pPr>
            <w:r>
              <w:t>Support</w:t>
            </w:r>
          </w:p>
        </w:tc>
        <w:tc>
          <w:tcPr>
            <w:tcW w:w="2546" w:type="dxa"/>
          </w:tcPr>
          <w:p w:rsidR="004425E8" w:rsidRPr="008A05FC" w:rsidRDefault="004425E8" w:rsidP="00195ED7">
            <w:pPr>
              <w:spacing w:after="160" w:line="259" w:lineRule="auto"/>
            </w:pPr>
            <w:r w:rsidRPr="008C58A8">
              <w:t>Vereinigte Staaten von Amerika</w:t>
            </w:r>
          </w:p>
        </w:tc>
      </w:tr>
      <w:tr w:rsidR="004425E8" w:rsidRPr="008A05FC" w:rsidTr="00195ED7">
        <w:tc>
          <w:tcPr>
            <w:tcW w:w="704" w:type="dxa"/>
          </w:tcPr>
          <w:p w:rsidR="004425E8" w:rsidRPr="00777617" w:rsidRDefault="004425E8" w:rsidP="00195ED7">
            <w:pPr>
              <w:spacing w:after="160" w:line="259" w:lineRule="auto"/>
              <w:rPr>
                <w:lang w:val="en-US"/>
              </w:rPr>
            </w:pPr>
            <w:r>
              <w:rPr>
                <w:lang w:val="en-US"/>
              </w:rPr>
              <w:t>1</w:t>
            </w:r>
          </w:p>
        </w:tc>
        <w:tc>
          <w:tcPr>
            <w:tcW w:w="2268" w:type="dxa"/>
          </w:tcPr>
          <w:p w:rsidR="004425E8" w:rsidRPr="0001214E" w:rsidRDefault="004425E8" w:rsidP="00195ED7">
            <w:pPr>
              <w:rPr>
                <w:lang w:val="en-US"/>
              </w:rPr>
            </w:pPr>
            <w:r w:rsidRPr="00F533FA">
              <w:rPr>
                <w:lang w:val="en-US"/>
              </w:rPr>
              <w:t>Rocket Science Group, LLC</w:t>
            </w:r>
          </w:p>
        </w:tc>
        <w:tc>
          <w:tcPr>
            <w:tcW w:w="3544" w:type="dxa"/>
          </w:tcPr>
          <w:p w:rsidR="004425E8" w:rsidRPr="008A05FC" w:rsidRDefault="004425E8" w:rsidP="00195ED7">
            <w:pPr>
              <w:spacing w:after="160" w:line="259" w:lineRule="auto"/>
            </w:pPr>
            <w:r>
              <w:t>E-Mail-</w:t>
            </w:r>
            <w:proofErr w:type="spellStart"/>
            <w:r>
              <w:t>Benachrichtungen</w:t>
            </w:r>
            <w:proofErr w:type="spellEnd"/>
          </w:p>
        </w:tc>
        <w:tc>
          <w:tcPr>
            <w:tcW w:w="2546" w:type="dxa"/>
          </w:tcPr>
          <w:p w:rsidR="004425E8" w:rsidRPr="008A05FC" w:rsidRDefault="004425E8" w:rsidP="00195ED7">
            <w:pPr>
              <w:spacing w:after="160" w:line="259" w:lineRule="auto"/>
            </w:pPr>
            <w:r w:rsidRPr="008C58A8">
              <w:t>Vereinigte Staaten von Amerika</w:t>
            </w:r>
          </w:p>
        </w:tc>
      </w:tr>
      <w:tr w:rsidR="004425E8" w:rsidRPr="008A05FC" w:rsidTr="00195ED7">
        <w:tc>
          <w:tcPr>
            <w:tcW w:w="704" w:type="dxa"/>
          </w:tcPr>
          <w:p w:rsidR="004425E8" w:rsidRPr="00777617" w:rsidRDefault="004425E8" w:rsidP="00195ED7">
            <w:pPr>
              <w:spacing w:after="160" w:line="259" w:lineRule="auto"/>
              <w:rPr>
                <w:lang w:val="en-US"/>
              </w:rPr>
            </w:pPr>
            <w:r>
              <w:rPr>
                <w:lang w:val="en-US"/>
              </w:rPr>
              <w:t>1-6</w:t>
            </w:r>
          </w:p>
        </w:tc>
        <w:tc>
          <w:tcPr>
            <w:tcW w:w="2268" w:type="dxa"/>
          </w:tcPr>
          <w:p w:rsidR="004425E8" w:rsidRPr="00BA642A" w:rsidRDefault="004425E8" w:rsidP="00195ED7">
            <w:pPr>
              <w:rPr>
                <w:lang w:val="en-US"/>
              </w:rPr>
            </w:pPr>
            <w:r w:rsidRPr="00147C49">
              <w:rPr>
                <w:lang w:val="en-US"/>
              </w:rPr>
              <w:t>Amazon Web Services</w:t>
            </w:r>
          </w:p>
        </w:tc>
        <w:tc>
          <w:tcPr>
            <w:tcW w:w="3544" w:type="dxa"/>
          </w:tcPr>
          <w:p w:rsidR="004425E8" w:rsidRPr="008A05FC" w:rsidRDefault="004425E8" w:rsidP="00195ED7">
            <w:pPr>
              <w:spacing w:after="160" w:line="259" w:lineRule="auto"/>
            </w:pPr>
            <w:r>
              <w:t>Infrastruktur (IT)</w:t>
            </w:r>
          </w:p>
        </w:tc>
        <w:tc>
          <w:tcPr>
            <w:tcW w:w="2546" w:type="dxa"/>
          </w:tcPr>
          <w:p w:rsidR="004425E8" w:rsidRPr="008A05FC" w:rsidRDefault="004425E8" w:rsidP="00195ED7">
            <w:pPr>
              <w:spacing w:after="160" w:line="259" w:lineRule="auto"/>
            </w:pPr>
            <w:r w:rsidRPr="00356AB0">
              <w:t>Vereinigte Staaten von Amerika</w:t>
            </w:r>
            <w:r>
              <w:t>, EU, Kanada, Australien</w:t>
            </w:r>
          </w:p>
        </w:tc>
      </w:tr>
      <w:tr w:rsidR="004425E8" w:rsidRPr="00777617" w:rsidTr="00195ED7">
        <w:tc>
          <w:tcPr>
            <w:tcW w:w="704" w:type="dxa"/>
          </w:tcPr>
          <w:p w:rsidR="004425E8" w:rsidRPr="00777617" w:rsidRDefault="004425E8" w:rsidP="00195ED7">
            <w:pPr>
              <w:spacing w:after="160" w:line="259" w:lineRule="auto"/>
              <w:rPr>
                <w:lang w:val="en-US"/>
              </w:rPr>
            </w:pPr>
            <w:r>
              <w:rPr>
                <w:lang w:val="en-US"/>
              </w:rPr>
              <w:t>1-6</w:t>
            </w:r>
          </w:p>
        </w:tc>
        <w:tc>
          <w:tcPr>
            <w:tcW w:w="2268" w:type="dxa"/>
          </w:tcPr>
          <w:p w:rsidR="004425E8" w:rsidRPr="00F533FA" w:rsidRDefault="004425E8" w:rsidP="00195ED7">
            <w:pPr>
              <w:spacing w:after="160" w:line="259" w:lineRule="auto"/>
              <w:rPr>
                <w:lang w:val="en-US"/>
              </w:rPr>
            </w:pPr>
            <w:r>
              <w:rPr>
                <w:lang w:val="en-US"/>
              </w:rPr>
              <w:t>Oracle</w:t>
            </w:r>
          </w:p>
        </w:tc>
        <w:tc>
          <w:tcPr>
            <w:tcW w:w="3544" w:type="dxa"/>
          </w:tcPr>
          <w:p w:rsidR="004425E8" w:rsidRPr="00777617" w:rsidRDefault="004425E8" w:rsidP="00195ED7">
            <w:pPr>
              <w:spacing w:after="160" w:line="259" w:lineRule="auto"/>
              <w:rPr>
                <w:lang w:val="en-US"/>
              </w:rPr>
            </w:pPr>
            <w:r>
              <w:rPr>
                <w:lang w:val="en-US"/>
              </w:rPr>
              <w:t>Cloud Service Provider/</w:t>
            </w:r>
            <w:proofErr w:type="spellStart"/>
            <w:r>
              <w:rPr>
                <w:lang w:val="en-US"/>
              </w:rPr>
              <w:t>Infrastruktur</w:t>
            </w:r>
            <w:proofErr w:type="spellEnd"/>
            <w:r>
              <w:rPr>
                <w:lang w:val="en-US"/>
              </w:rPr>
              <w:t xml:space="preserve"> IT</w:t>
            </w:r>
          </w:p>
        </w:tc>
        <w:tc>
          <w:tcPr>
            <w:tcW w:w="2546" w:type="dxa"/>
          </w:tcPr>
          <w:p w:rsidR="004425E8" w:rsidRPr="00777617" w:rsidRDefault="004425E8" w:rsidP="00195ED7">
            <w:pPr>
              <w:spacing w:after="160" w:line="259" w:lineRule="auto"/>
              <w:rPr>
                <w:lang w:val="en-US"/>
              </w:rPr>
            </w:pPr>
            <w:proofErr w:type="spellStart"/>
            <w:r>
              <w:rPr>
                <w:lang w:val="en-US"/>
              </w:rPr>
              <w:t>Vereinigte</w:t>
            </w:r>
            <w:proofErr w:type="spellEnd"/>
            <w:r>
              <w:rPr>
                <w:lang w:val="en-US"/>
              </w:rPr>
              <w:t xml:space="preserve"> </w:t>
            </w:r>
            <w:proofErr w:type="spellStart"/>
            <w:r>
              <w:rPr>
                <w:lang w:val="en-US"/>
              </w:rPr>
              <w:t>Staaten</w:t>
            </w:r>
            <w:proofErr w:type="spellEnd"/>
            <w:r>
              <w:rPr>
                <w:lang w:val="en-US"/>
              </w:rPr>
              <w:t xml:space="preserve"> von Amerika </w:t>
            </w:r>
          </w:p>
        </w:tc>
      </w:tr>
    </w:tbl>
    <w:p w:rsidR="003629BC" w:rsidRDefault="003629BC" w:rsidP="00C02CAA"/>
    <w:p w:rsidR="003629BC" w:rsidRDefault="004425E8" w:rsidP="004425E8">
      <w:pPr>
        <w:pStyle w:val="berschrift1"/>
      </w:pPr>
      <w:r>
        <w:t>Speicherdauer</w:t>
      </w:r>
    </w:p>
    <w:p w:rsidR="004425E8" w:rsidRDefault="004425E8" w:rsidP="004425E8">
      <w:pPr>
        <w:pStyle w:val="Listenabsatz"/>
        <w:numPr>
          <w:ilvl w:val="0"/>
          <w:numId w:val="4"/>
        </w:numPr>
      </w:pPr>
      <w:r>
        <w:t>Datenkategorie 1: 90 Tage nach Löschen des Accounts bzw. Vertragsende</w:t>
      </w:r>
    </w:p>
    <w:p w:rsidR="004425E8" w:rsidRDefault="004425E8" w:rsidP="004425E8">
      <w:pPr>
        <w:pStyle w:val="Listenabsatz"/>
        <w:numPr>
          <w:ilvl w:val="0"/>
          <w:numId w:val="4"/>
        </w:numPr>
      </w:pPr>
      <w:r>
        <w:t>Datenkategorie 2: 90 Tage nach Löschbitte bzw. Vertragsende</w:t>
      </w:r>
    </w:p>
    <w:p w:rsidR="004425E8" w:rsidRDefault="004425E8" w:rsidP="004425E8">
      <w:pPr>
        <w:pStyle w:val="Listenabsatz"/>
        <w:numPr>
          <w:ilvl w:val="0"/>
          <w:numId w:val="4"/>
        </w:numPr>
      </w:pPr>
      <w:r>
        <w:t>Datenkategorie 3: 7 Tage nach Löschung der Aufzeichnung</w:t>
      </w:r>
    </w:p>
    <w:p w:rsidR="004425E8" w:rsidRDefault="004425E8" w:rsidP="004425E8">
      <w:pPr>
        <w:pStyle w:val="Listenabsatz"/>
        <w:numPr>
          <w:ilvl w:val="0"/>
          <w:numId w:val="4"/>
        </w:numPr>
      </w:pPr>
      <w:r>
        <w:t>Datenkategorie 4: 7 Tage nach Löschung des Chats</w:t>
      </w:r>
    </w:p>
    <w:p w:rsidR="004425E8" w:rsidRDefault="004425E8" w:rsidP="004425E8">
      <w:pPr>
        <w:pStyle w:val="Listenabsatz"/>
        <w:numPr>
          <w:ilvl w:val="0"/>
          <w:numId w:val="4"/>
        </w:numPr>
      </w:pPr>
      <w:r>
        <w:t>Datenkategorie 5: 90 Tage nach Löschbitte bzw. Vertragsende</w:t>
      </w:r>
    </w:p>
    <w:p w:rsidR="003629BC" w:rsidRDefault="004425E8" w:rsidP="004425E8">
      <w:pPr>
        <w:pStyle w:val="Listenabsatz"/>
        <w:numPr>
          <w:ilvl w:val="0"/>
          <w:numId w:val="4"/>
        </w:numPr>
      </w:pPr>
      <w:r>
        <w:t>Datenkategorie 6: Intern gemäß Haushalts- und Steuerrecht</w:t>
      </w:r>
    </w:p>
    <w:p w:rsidR="003629BC" w:rsidRDefault="004425E8" w:rsidP="00C02CAA">
      <w:r>
        <w:t>Eine vorherige Löschung ist immer möglich bei Beauftragung zur Löschung durch Zoom</w:t>
      </w:r>
    </w:p>
    <w:sectPr w:rsidR="003629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7543"/>
    <w:multiLevelType w:val="hybridMultilevel"/>
    <w:tmpl w:val="9C26E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163A23"/>
    <w:multiLevelType w:val="hybridMultilevel"/>
    <w:tmpl w:val="0A5CC8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1320EF"/>
    <w:multiLevelType w:val="hybridMultilevel"/>
    <w:tmpl w:val="6D724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6A153F"/>
    <w:multiLevelType w:val="hybridMultilevel"/>
    <w:tmpl w:val="7B14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FB"/>
    <w:rsid w:val="000B350C"/>
    <w:rsid w:val="000F6FD8"/>
    <w:rsid w:val="00240A63"/>
    <w:rsid w:val="003629BC"/>
    <w:rsid w:val="00387841"/>
    <w:rsid w:val="00393044"/>
    <w:rsid w:val="004425E8"/>
    <w:rsid w:val="009A63FB"/>
    <w:rsid w:val="009C4CFF"/>
    <w:rsid w:val="009C5DD1"/>
    <w:rsid w:val="00AC16B6"/>
    <w:rsid w:val="00B067E1"/>
    <w:rsid w:val="00C02CAA"/>
    <w:rsid w:val="00C4737D"/>
    <w:rsid w:val="00E47286"/>
    <w:rsid w:val="00F512BE"/>
    <w:rsid w:val="00F67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B2D6"/>
  <w15:chartTrackingRefBased/>
  <w15:docId w15:val="{02D73B87-1C0D-4EB8-914E-4C46DC8E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02C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02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737D"/>
    <w:rPr>
      <w:color w:val="0563C1" w:themeColor="hyperlink"/>
      <w:u w:val="single"/>
    </w:rPr>
  </w:style>
  <w:style w:type="character" w:customStyle="1" w:styleId="berschrift1Zchn">
    <w:name w:val="Überschrift 1 Zchn"/>
    <w:basedOn w:val="Absatz-Standardschriftart"/>
    <w:link w:val="berschrift1"/>
    <w:uiPriority w:val="9"/>
    <w:rsid w:val="00C02CA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C02CAA"/>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87841"/>
    <w:pPr>
      <w:ind w:left="720"/>
      <w:contextualSpacing/>
    </w:pPr>
  </w:style>
  <w:style w:type="table" w:styleId="Tabellenraster">
    <w:name w:val="Table Grid"/>
    <w:basedOn w:val="NormaleTabelle"/>
    <w:uiPriority w:val="39"/>
    <w:rsid w:val="0044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91936">
      <w:bodyDiv w:val="1"/>
      <w:marLeft w:val="0"/>
      <w:marRight w:val="0"/>
      <w:marTop w:val="0"/>
      <w:marBottom w:val="0"/>
      <w:divBdr>
        <w:top w:val="none" w:sz="0" w:space="0" w:color="auto"/>
        <w:left w:val="none" w:sz="0" w:space="0" w:color="auto"/>
        <w:bottom w:val="none" w:sz="0" w:space="0" w:color="auto"/>
        <w:right w:val="none" w:sz="0" w:space="0" w:color="auto"/>
      </w:divBdr>
      <w:divsChild>
        <w:div w:id="214435783">
          <w:marLeft w:val="0"/>
          <w:marRight w:val="0"/>
          <w:marTop w:val="0"/>
          <w:marBottom w:val="0"/>
          <w:divBdr>
            <w:top w:val="none" w:sz="0" w:space="0" w:color="auto"/>
            <w:left w:val="none" w:sz="0" w:space="0" w:color="auto"/>
            <w:bottom w:val="none" w:sz="0" w:space="0" w:color="auto"/>
            <w:right w:val="none" w:sz="0" w:space="0" w:color="auto"/>
          </w:divBdr>
        </w:div>
      </w:divsChild>
    </w:div>
    <w:div w:id="1901405009">
      <w:bodyDiv w:val="1"/>
      <w:marLeft w:val="0"/>
      <w:marRight w:val="0"/>
      <w:marTop w:val="0"/>
      <w:marBottom w:val="0"/>
      <w:divBdr>
        <w:top w:val="none" w:sz="0" w:space="0" w:color="auto"/>
        <w:left w:val="none" w:sz="0" w:space="0" w:color="auto"/>
        <w:bottom w:val="none" w:sz="0" w:space="0" w:color="auto"/>
        <w:right w:val="none" w:sz="0" w:space="0" w:color="auto"/>
      </w:divBdr>
      <w:divsChild>
        <w:div w:id="852457713">
          <w:marLeft w:val="0"/>
          <w:marRight w:val="0"/>
          <w:marTop w:val="0"/>
          <w:marBottom w:val="0"/>
          <w:divBdr>
            <w:top w:val="none" w:sz="0" w:space="0" w:color="auto"/>
            <w:left w:val="none" w:sz="0" w:space="0" w:color="auto"/>
            <w:bottom w:val="none" w:sz="0" w:space="0" w:color="auto"/>
            <w:right w:val="none" w:sz="0" w:space="0" w:color="auto"/>
          </w:divBdr>
        </w:div>
        <w:div w:id="1354067392">
          <w:marLeft w:val="0"/>
          <w:marRight w:val="0"/>
          <w:marTop w:val="0"/>
          <w:marBottom w:val="0"/>
          <w:divBdr>
            <w:top w:val="none" w:sz="0" w:space="0" w:color="auto"/>
            <w:left w:val="none" w:sz="0" w:space="0" w:color="auto"/>
            <w:bottom w:val="none" w:sz="0" w:space="0" w:color="auto"/>
            <w:right w:val="none" w:sz="0" w:space="0" w:color="auto"/>
          </w:divBdr>
        </w:div>
        <w:div w:id="339429013">
          <w:marLeft w:val="0"/>
          <w:marRight w:val="0"/>
          <w:marTop w:val="0"/>
          <w:marBottom w:val="0"/>
          <w:divBdr>
            <w:top w:val="none" w:sz="0" w:space="0" w:color="auto"/>
            <w:left w:val="none" w:sz="0" w:space="0" w:color="auto"/>
            <w:bottom w:val="none" w:sz="0" w:space="0" w:color="auto"/>
            <w:right w:val="none" w:sz="0" w:space="0" w:color="auto"/>
          </w:divBdr>
        </w:div>
        <w:div w:id="1678650779">
          <w:marLeft w:val="0"/>
          <w:marRight w:val="0"/>
          <w:marTop w:val="0"/>
          <w:marBottom w:val="0"/>
          <w:divBdr>
            <w:top w:val="none" w:sz="0" w:space="0" w:color="auto"/>
            <w:left w:val="none" w:sz="0" w:space="0" w:color="auto"/>
            <w:bottom w:val="none" w:sz="0" w:space="0" w:color="auto"/>
            <w:right w:val="none" w:sz="0" w:space="0" w:color="auto"/>
          </w:divBdr>
        </w:div>
        <w:div w:id="971054774">
          <w:marLeft w:val="0"/>
          <w:marRight w:val="0"/>
          <w:marTop w:val="0"/>
          <w:marBottom w:val="0"/>
          <w:divBdr>
            <w:top w:val="none" w:sz="0" w:space="0" w:color="auto"/>
            <w:left w:val="none" w:sz="0" w:space="0" w:color="auto"/>
            <w:bottom w:val="none" w:sz="0" w:space="0" w:color="auto"/>
            <w:right w:val="none" w:sz="0" w:space="0" w:color="auto"/>
          </w:divBdr>
        </w:div>
        <w:div w:id="86988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de-de/subprocess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privacy?zcid=1231" TargetMode="External"/><Relationship Id="rId5" Type="http://schemas.openxmlformats.org/officeDocument/2006/relationships/hyperlink" Target="https://www.rz.uni-wuerzburg.de/de/dienste/it-recht/it-vertraeg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7171</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TH Nuernberg</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Guenther, Michael</dc:creator>
  <cp:keywords/>
  <dc:description/>
  <cp:lastModifiedBy>Kessler, Doris</cp:lastModifiedBy>
  <cp:revision>2</cp:revision>
  <dcterms:created xsi:type="dcterms:W3CDTF">2021-05-20T10:13:00Z</dcterms:created>
  <dcterms:modified xsi:type="dcterms:W3CDTF">2021-05-20T10:13:00Z</dcterms:modified>
</cp:coreProperties>
</file>